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15" w:rsidRPr="00712922" w:rsidRDefault="00040B15" w:rsidP="00712922">
      <w:pPr>
        <w:pStyle w:val="UDK"/>
      </w:pPr>
      <w:r w:rsidRPr="00712922">
        <w:t xml:space="preserve">УДК </w:t>
      </w:r>
    </w:p>
    <w:p w:rsidR="00040B15" w:rsidRPr="00712922" w:rsidRDefault="00040B15" w:rsidP="00712922">
      <w:pPr>
        <w:pStyle w:val="UDK"/>
      </w:pPr>
    </w:p>
    <w:p w:rsidR="00040B15" w:rsidRPr="00712922" w:rsidRDefault="00040B15" w:rsidP="00712922">
      <w:pPr>
        <w:pStyle w:val="a5"/>
        <w:rPr>
          <w:i w:val="0"/>
          <w:sz w:val="24"/>
          <w:szCs w:val="24"/>
        </w:rPr>
      </w:pPr>
      <w:bookmarkStart w:id="0" w:name="_Toc432959330"/>
      <w:r>
        <w:rPr>
          <w:i w:val="0"/>
          <w:sz w:val="24"/>
          <w:szCs w:val="24"/>
        </w:rPr>
        <w:t>Д.В. Рыжов, магистр</w:t>
      </w:r>
      <w:r w:rsidRPr="00712922">
        <w:rPr>
          <w:i w:val="0"/>
          <w:sz w:val="24"/>
          <w:szCs w:val="24"/>
        </w:rPr>
        <w:t xml:space="preserve">ант </w:t>
      </w:r>
      <w:bookmarkEnd w:id="0"/>
    </w:p>
    <w:p w:rsidR="00040B15" w:rsidRPr="00712922" w:rsidRDefault="00040B15" w:rsidP="00712922">
      <w:pPr>
        <w:pStyle w:val="a5"/>
        <w:rPr>
          <w:i w:val="0"/>
          <w:sz w:val="24"/>
          <w:szCs w:val="24"/>
        </w:rPr>
      </w:pPr>
      <w:bookmarkStart w:id="1" w:name="_Toc432959331"/>
      <w:r w:rsidRPr="00712922">
        <w:rPr>
          <w:i w:val="0"/>
          <w:sz w:val="24"/>
          <w:szCs w:val="24"/>
        </w:rPr>
        <w:t xml:space="preserve">Е.Г. Бурмистров, </w:t>
      </w:r>
      <w:bookmarkEnd w:id="1"/>
      <w:r w:rsidRPr="00712922">
        <w:rPr>
          <w:i w:val="0"/>
          <w:sz w:val="24"/>
          <w:szCs w:val="24"/>
        </w:rPr>
        <w:t>проф.,д.т.н, кафедра ПиТПС</w:t>
      </w:r>
    </w:p>
    <w:p w:rsidR="00040B15" w:rsidRPr="00712922" w:rsidRDefault="00040B15" w:rsidP="00712922">
      <w:pPr>
        <w:pStyle w:val="A"/>
        <w:rPr>
          <w:i w:val="0"/>
          <w:sz w:val="24"/>
          <w:szCs w:val="24"/>
        </w:rPr>
      </w:pPr>
      <w:r w:rsidRPr="00712922">
        <w:rPr>
          <w:i w:val="0"/>
          <w:sz w:val="24"/>
          <w:szCs w:val="24"/>
        </w:rPr>
        <w:t>ФГБОУ ВО «Волжский государственный университет водного транспорта»</w:t>
      </w:r>
    </w:p>
    <w:p w:rsidR="00040B15" w:rsidRPr="00712922" w:rsidRDefault="00040B15" w:rsidP="00712922">
      <w:pPr>
        <w:pStyle w:val="A"/>
        <w:rPr>
          <w:i w:val="0"/>
          <w:sz w:val="24"/>
          <w:szCs w:val="24"/>
        </w:rPr>
      </w:pPr>
      <w:smartTag w:uri="urn:schemas-microsoft-com:office:smarttags" w:element="metricconverter">
        <w:smartTagPr>
          <w:attr w:name="ProductID" w:val="603950, г"/>
        </w:smartTagPr>
        <w:r w:rsidRPr="00712922">
          <w:rPr>
            <w:i w:val="0"/>
            <w:sz w:val="24"/>
            <w:szCs w:val="24"/>
          </w:rPr>
          <w:t>603950, г</w:t>
        </w:r>
      </w:smartTag>
      <w:r w:rsidRPr="00712922">
        <w:rPr>
          <w:i w:val="0"/>
          <w:sz w:val="24"/>
          <w:szCs w:val="24"/>
        </w:rPr>
        <w:t>. Нижний Новгород, ул. Нестерова, 5</w:t>
      </w:r>
    </w:p>
    <w:p w:rsidR="00040B15" w:rsidRPr="00712922" w:rsidRDefault="00040B15" w:rsidP="00712922">
      <w:pPr>
        <w:pStyle w:val="a2"/>
        <w:spacing w:before="0" w:after="0"/>
        <w:ind w:firstLine="709"/>
        <w:rPr>
          <w:b w:val="0"/>
          <w:szCs w:val="24"/>
        </w:rPr>
      </w:pPr>
      <w:bookmarkStart w:id="2" w:name="_Toc432959333"/>
    </w:p>
    <w:bookmarkEnd w:id="2"/>
    <w:p w:rsidR="00040B15" w:rsidRPr="00712922" w:rsidRDefault="00040B15" w:rsidP="00712922">
      <w:pPr>
        <w:pStyle w:val="a3"/>
        <w:ind w:left="0" w:right="0" w:firstLine="709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РАЗРАБОТКА МЕТОДА СРАЩИВАНИЯ КОРАБЕЛЬНЫХ СУПЕР БЛОКОВ НА ПЛАВУ</w:t>
      </w:r>
    </w:p>
    <w:p w:rsidR="00040B15" w:rsidRPr="00712922" w:rsidRDefault="00040B15" w:rsidP="00712922">
      <w:pPr>
        <w:pStyle w:val="a3"/>
        <w:ind w:left="0" w:right="0"/>
        <w:rPr>
          <w:i w:val="0"/>
          <w:sz w:val="24"/>
          <w:szCs w:val="24"/>
        </w:rPr>
      </w:pPr>
    </w:p>
    <w:p w:rsidR="00040B15" w:rsidRPr="00712922" w:rsidRDefault="00040B15" w:rsidP="00712922">
      <w:pPr>
        <w:pStyle w:val="a3"/>
        <w:ind w:left="0" w:right="0"/>
        <w:rPr>
          <w:i w:val="0"/>
          <w:sz w:val="24"/>
          <w:szCs w:val="24"/>
        </w:rPr>
      </w:pPr>
      <w:r w:rsidRPr="00712922">
        <w:rPr>
          <w:i w:val="0"/>
          <w:sz w:val="24"/>
          <w:szCs w:val="24"/>
        </w:rPr>
        <w:t xml:space="preserve">Ключевые слова: суперблоки, формирование корпуса на плаву, </w:t>
      </w:r>
      <w:r>
        <w:rPr>
          <w:i w:val="0"/>
          <w:sz w:val="24"/>
          <w:szCs w:val="24"/>
        </w:rPr>
        <w:t>метод</w:t>
      </w:r>
    </w:p>
    <w:p w:rsidR="00040B15" w:rsidRPr="00712922" w:rsidRDefault="00040B15" w:rsidP="00712922">
      <w:pPr>
        <w:pStyle w:val="a3"/>
        <w:ind w:left="0" w:right="0" w:firstLine="709"/>
        <w:rPr>
          <w:i w:val="0"/>
          <w:sz w:val="24"/>
          <w:szCs w:val="24"/>
        </w:rPr>
      </w:pPr>
    </w:p>
    <w:p w:rsidR="00040B15" w:rsidRPr="00712922" w:rsidRDefault="00040B15" w:rsidP="007C09D1">
      <w:pPr>
        <w:pStyle w:val="a3"/>
        <w:ind w:left="0" w:right="0" w:firstLine="708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Рассматриваются характерные особенности стыковки на плаву корабельных супер блоков корпусов судов после раздельного спуска их на воду. Разрабатывается новый метод стыковки суперблоков на плаву.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</w:t>
      </w:r>
      <w:r w:rsidRPr="00FD07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корпусов судов наплаву является сложной инженерной и научно-технической задачей, требующей высокой квалификации судостроителя. Предварительно изготовленные сборочные единицы имеют значительную массу и габаритам, сложную геометрию и малую жесткость. В практике судостроения данная задача решается для каждого случая, а варианты её решения отличаются большим разнообразием.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Основное различие сращивания блоков наплаву по сравнению с аналогичной операцией на стапеле - необходимость точного предварительного наведения блоков в условиях отсутствия жесткого основания и достаточно высоких требований к точности предварительных сборочных работ. Поэтому, весьма важным является обеспечение требуемой посадки блока наплаву по крену и дифференту и его весовой нагрузки. Исходя из изложенного, стыковка блоков на плаву должна производиться в спокойную, тихую погоду при отсутствии волнения акватории. Это накладывает ограничение и создает жесткие сроки выполнения сборочных работ ввиду плохо прогнозируемого изменения погодных условий в местах проведения стыковочных работ</w:t>
      </w:r>
      <w:r w:rsidRPr="005146C2">
        <w:rPr>
          <w:rFonts w:ascii="Times New Roman" w:hAnsi="Times New Roman"/>
          <w:sz w:val="24"/>
          <w:szCs w:val="24"/>
        </w:rPr>
        <w:t xml:space="preserve"> [1]</w:t>
      </w:r>
      <w:r w:rsidRPr="00873CB0">
        <w:rPr>
          <w:rFonts w:ascii="Times New Roman" w:hAnsi="Times New Roman"/>
          <w:sz w:val="24"/>
          <w:szCs w:val="24"/>
        </w:rPr>
        <w:t>, [4]</w:t>
      </w:r>
      <w:r>
        <w:rPr>
          <w:rFonts w:ascii="Times New Roman" w:hAnsi="Times New Roman"/>
          <w:sz w:val="24"/>
          <w:szCs w:val="24"/>
        </w:rPr>
        <w:t>.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 обозначенные особенности и ограничения создают  необходимость применения при сборке суперблоков наплаву специально разработанных центрирующих устройств,  в отличие от сборки корпуса из блоков на стапеле, когда достаточно одного ЦУ в ДП или специальных направляющих (полозьев). Принцип действия центрирующего устройства(ЦУ) показан на приведенных на рис.1 фрагментах анимационного ролика компьютерной модели процесса сращивания блоков на плаву </w:t>
      </w:r>
      <w:r w:rsidRPr="005146C2">
        <w:rPr>
          <w:rFonts w:ascii="Times New Roman" w:hAnsi="Times New Roman"/>
          <w:sz w:val="24"/>
          <w:szCs w:val="24"/>
        </w:rPr>
        <w:t>[2]</w:t>
      </w:r>
      <w:r>
        <w:rPr>
          <w:rFonts w:ascii="Times New Roman" w:hAnsi="Times New Roman"/>
          <w:sz w:val="24"/>
          <w:szCs w:val="24"/>
        </w:rPr>
        <w:t>.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Разработанная авторами данной статьи технология сращивания корабельных суперблоков на плаву с применением центрирующих устройств включает следующую основную последовательность работ: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установка базового блока в акватории с использованием штатных и технологических швартовных устройств;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подготовка базового блока к стыковке (удифферентовка и кренование, пробивка контрольных и базовых линий, проверка плоскостей визирования и центрующих  устройстви, приварка, вывешивание кранцев со стороны монтажных торцов и др.).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Конструктивные особенности стыкуемых блоков, как правило, позволяют производить кренование путем приема жидкого балласта в штатные балластные цистерны, но удифферентовка в ряде случаев может производиться только путем приема твердого балласта, такого как щебень или песок на палубу блока с перемещением его в горизонтальной плоскости бульдозером. Отклонения положения базового модуля по крену и дифференту от горизонтальной плоскости не должны превышать 0,5 град. Все отклонения должны фиксироваться контрольными замерами </w:t>
      </w:r>
      <w:r w:rsidRPr="001524D2">
        <w:rPr>
          <w:rFonts w:ascii="Times New Roman" w:hAnsi="Times New Roman"/>
          <w:sz w:val="24"/>
          <w:szCs w:val="24"/>
        </w:rPr>
        <w:t>[3]</w:t>
      </w:r>
      <w:r>
        <w:rPr>
          <w:rFonts w:ascii="Times New Roman" w:hAnsi="Times New Roman"/>
          <w:sz w:val="24"/>
          <w:szCs w:val="24"/>
        </w:rPr>
        <w:t>.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проведением сборочных операций необходимо разработать схему установки центрующих устройств и прочей сборочной оснастки. Сами ЦУ устанавливаются на прихватки ручной сваркой.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CF1341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33.5pt">
            <v:imagedata r:id="rId5" o:title=""/>
          </v:shape>
        </w:pict>
      </w:r>
      <w:r w:rsidRPr="00CF1341">
        <w:rPr>
          <w:rFonts w:ascii="Times New Roman" w:hAnsi="Times New Roman"/>
          <w:sz w:val="24"/>
          <w:szCs w:val="24"/>
        </w:rPr>
        <w:pict>
          <v:shape id="_x0000_i1026" type="#_x0000_t75" style="width:212.25pt;height:132pt">
            <v:imagedata r:id="rId6" o:title=""/>
          </v:shape>
        </w:pic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40B15" w:rsidRDefault="00040B15" w:rsidP="0011205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Рис.1. Фрагменты анимационного ролика компьютерной модели процесса сращивания блоков на плаву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выполнение выше указанных работ на стыкуемом соседнем блоке. Кренование и удифферентовка смежного модуля должны выполняться с точностью не менее 2 град;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установка с помощью буксиров-толкачей  смежного блока относительно базового на расстоянии (20…25) м;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закрепление конца буксирного троса от лебедки (или шпиля) на центрующем стержне центрующего устройства ЦУ №1 стыкуемого блока с заведением троса через центрующее отверстие ЦУ №1 базового блока;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е) буксировка стыкуемого блока с помощью лебедки (шпиля) до расстояния между модулями (0,5...1,0) мм;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ё) заведение в технологические обуха на палубе, платформах, бортах и продольных переборках блоков талрепов;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окончательное кренование и удифферентовка смежного блока относительно базового. За базовую плоскость при этом должна приниматься плоскость палубы и платформ базового блока. Допускаемые отклонения по излому (из-за допусков на дифферент) составляют не более 0,5 град.; по смещению в вертикальной плоскости (относительно палубы базового блока) – не более </w:t>
      </w:r>
      <w:smartTag w:uri="urn:schemas-microsoft-com:office:smarttags" w:element="metricconverter">
        <w:smartTagPr>
          <w:attr w:name="ProductID" w:val="5 мм"/>
        </w:smartTagPr>
        <w:r>
          <w:rPr>
            <w:rFonts w:ascii="Times New Roman" w:hAnsi="Times New Roman"/>
            <w:sz w:val="24"/>
            <w:szCs w:val="24"/>
          </w:rPr>
          <w:t>5 мм</w:t>
        </w:r>
      </w:smartTag>
      <w:r>
        <w:rPr>
          <w:rFonts w:ascii="Times New Roman" w:hAnsi="Times New Roman"/>
          <w:sz w:val="24"/>
          <w:szCs w:val="24"/>
        </w:rPr>
        <w:t>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з) пробивка осевой линии в ДП оптическим или лазерным визиром;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и) контрольная проверка взаимного расположения стыкуемых блоков по положению центров ЦУ №1 относительно плоскости палубы;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й) выбирание кранцев по всему стыкуемому контуру;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к) доводочное перемещение (синхронно по правому и левому бортам) с помощью лебедки и талрепов смежного (стыкуемого) блока с базовым до начала входа центрирующего стержня ЦУ №1, в центрующее конусное отверстие  (контактные поверхности всех центрующих устройств, предварительно должны быть обильно смазаны литолом);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л) контрольная проверка взаимного положения блоков по центрам центрующих устройств. При необходимости, доводочное взаимного кренования и удифферентовка блоков;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м) доводочное перемещение (синхронно по правому и левому бортам) с помощью лебедки и талрепов стыкуемого блока с базовым до начала входа центрирующих стержней ЦУ №2 и №3 (устанавливаются на главной палубе по правому и левому борту)  в ответные центрующие отверстия. Центрующий стержень ЦУ №1 при этом должен полностью и плотно войти в центрующее отверстие 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н) контрольная проверка взаимного положения блоков по центрам центрующих устройств. При необходимости, доводочное взаимное кренование и удифферентовка блоков;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о) доводочное перемещение (синхронно по правому и левому бортам) с помощью лебедки и талрепов стыкуемого блока с базовым. Центрующие стержни ЦУ №2 и №3 при этом должны полностью и плотно войти в соответствующие центрующие отверстия;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п) контрольная проверка взаимного положения блоков по центрам центрующих устройств;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р) доводочное перемещение (синхронно по правому и левому бортам) с помощью лебедки и талрепов стыкуемого блока с базовым до взаимного касания монтажных кромок блоков;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с) контрольная проверка зазоров между монтажными кромками блоков по всему монтажному контуру. Зазоры не должны превышать </w:t>
      </w:r>
      <w:smartTag w:uri="urn:schemas-microsoft-com:office:smarttags" w:element="metricconverter">
        <w:smartTagPr>
          <w:attr w:name="ProductID" w:val="2 мм"/>
        </w:smartTagPr>
        <w:r>
          <w:rPr>
            <w:rFonts w:ascii="Times New Roman" w:hAnsi="Times New Roman"/>
            <w:sz w:val="24"/>
            <w:szCs w:val="24"/>
          </w:rPr>
          <w:t>2 мм</w:t>
        </w:r>
      </w:smartTag>
      <w:r>
        <w:rPr>
          <w:rFonts w:ascii="Times New Roman" w:hAnsi="Times New Roman"/>
          <w:sz w:val="24"/>
          <w:szCs w:val="24"/>
        </w:rPr>
        <w:t>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т) в случае, если величины выявленных зазоров превышают допускаемые – причерчивание монтажной кромки с припуском, отведение с помощью талрепов стыкуемого блока на расстояние, удобно для подрезки и разделки кромок под сварку, но не более </w:t>
      </w:r>
      <w:smartTag w:uri="urn:schemas-microsoft-com:office:smarttags" w:element="metricconverter">
        <w:smartTagPr>
          <w:attr w:name="ProductID" w:val="300 мм"/>
        </w:smartTagPr>
        <w:r>
          <w:rPr>
            <w:rFonts w:ascii="Times New Roman" w:hAnsi="Times New Roman"/>
            <w:sz w:val="24"/>
            <w:szCs w:val="24"/>
          </w:rPr>
          <w:t>300 мм</w:t>
        </w:r>
      </w:smartTag>
      <w:r>
        <w:rPr>
          <w:rFonts w:ascii="Times New Roman" w:hAnsi="Times New Roman"/>
          <w:sz w:val="24"/>
          <w:szCs w:val="24"/>
        </w:rPr>
        <w:t>, подрезка и разделка кромок, повторное стыкование блоков в последовательности, описано в п.п н) – с). При необходимости, указанные операции повторить до получения требуемых зазоров;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у) дифферентование смежного блока путем приема балласта до получения в районах монтажных стыков по бортам клиновидного зазора между блоками с величиной в верхней части не более </w:t>
      </w:r>
      <w:smartTag w:uri="urn:schemas-microsoft-com:office:smarttags" w:element="metricconverter">
        <w:smartTagPr>
          <w:attr w:name="ProductID" w:val="10 мм"/>
        </w:smartTagPr>
        <w:r>
          <w:rPr>
            <w:rFonts w:ascii="Times New Roman" w:hAnsi="Times New Roman"/>
            <w:sz w:val="24"/>
            <w:szCs w:val="24"/>
          </w:rPr>
          <w:t>10 мм</w:t>
        </w:r>
      </w:smartTag>
      <w:r>
        <w:rPr>
          <w:rFonts w:ascii="Times New Roman" w:hAnsi="Times New Roman"/>
          <w:sz w:val="24"/>
          <w:szCs w:val="24"/>
        </w:rPr>
        <w:t>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ф) установка распорных клиньев в зазор между блоками по линии палубы и технологических «закусов» в клиновидных зазор между бортами стыкуемых блоков;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х) установка и приварка в районе монтажных соединений с внутренней стороны блоков сборочных гребенок;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ц) окончательная проверка взаимного расположения блоков, зачистка монтажных кромок и их сдача под сварку;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ч) сварка монтажных соединений в направлении снизу-вверх одновременно несколькими сварщиками по всем стыкуемым вертикальным монтажным кромкам. По мере сварки необходимо выбирать и переставлять выше по стыку технологические «закусы», одновременно подтягивая друг к другу с помощью талрепов верхние кромки блоков;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ш) сварка монтажных кромок по платформам и палубам;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щ) установка и сварка забойных элементов продольного набора в районе монтажных стыков башен;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э) контрольно качества сварных соединений, их испытания на водонепроницаемость;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ю) контроль килевой линии и контрольные обмеры собранного корпуса судна;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Сварка блоков между собой по п.п. ч) и ш) включает следующие этапы:</w:t>
      </w:r>
    </w:p>
    <w:p w:rsidR="00040B15" w:rsidRDefault="00040B15" w:rsidP="009336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сварка незаваренных при сборке блоков участков пазов обшивки</w:t>
      </w:r>
    </w:p>
    <w:p w:rsidR="00040B15" w:rsidRDefault="00040B15" w:rsidP="009336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установка керамических подкладок на монтажные стыки с внутренней стороны блоков;</w:t>
      </w:r>
    </w:p>
    <w:p w:rsidR="00040B15" w:rsidRDefault="00040B15" w:rsidP="009336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сварка вертикальных, а затем горизонтальных монтажных стыков по обшивке, платформам и палубам;</w:t>
      </w:r>
    </w:p>
    <w:p w:rsidR="00040B15" w:rsidRDefault="00040B15" w:rsidP="009336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приварка забойных балок продольного набора к обшивке;</w:t>
      </w:r>
    </w:p>
    <w:p w:rsidR="00040B15" w:rsidRDefault="00040B15" w:rsidP="009336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сварка стенок забойных балок набора между собой;</w:t>
      </w:r>
    </w:p>
    <w:p w:rsidR="00040B15" w:rsidRDefault="00040B15" w:rsidP="009336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сварка полок забойных балок между собой;</w:t>
      </w:r>
    </w:p>
    <w:p w:rsidR="00040B15" w:rsidRDefault="00040B15" w:rsidP="0093368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удаление временных креплений.</w:t>
      </w:r>
    </w:p>
    <w:p w:rsidR="00040B15" w:rsidRDefault="00040B15" w:rsidP="0093368F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разработке рабочей технологии сращивания блоков, кроме перечисленной последовательности работ, необходимо пользоваться ОСТ 5.9542-72, ч.3, регламентирующим стапельную сборку судов </w:t>
      </w:r>
      <w:r w:rsidRPr="00873CB0">
        <w:rPr>
          <w:rFonts w:ascii="Times New Roman" w:hAnsi="Times New Roman"/>
          <w:sz w:val="24"/>
          <w:szCs w:val="24"/>
        </w:rPr>
        <w:t>[5]</w:t>
      </w:r>
      <w:r>
        <w:rPr>
          <w:rFonts w:ascii="Times New Roman" w:hAnsi="Times New Roman"/>
          <w:sz w:val="24"/>
          <w:szCs w:val="24"/>
        </w:rPr>
        <w:t>.</w:t>
      </w:r>
    </w:p>
    <w:p w:rsidR="00040B15" w:rsidRDefault="00040B15" w:rsidP="009336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На всех этапах работы целесообразно применять математическое моделирование с использованием современных ПО, для уменьшения количества «подгоночных» работ.</w:t>
      </w:r>
      <w:r>
        <w:rPr>
          <w:rFonts w:ascii="Times New Roman" w:hAnsi="Times New Roman"/>
          <w:sz w:val="24"/>
          <w:szCs w:val="24"/>
        </w:rPr>
        <w:tab/>
      </w:r>
    </w:p>
    <w:p w:rsidR="00040B15" w:rsidRDefault="00040B15" w:rsidP="0093368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Допускаемые отклонения размеров для идентичных точек частей корпуса от проектных значений после сращивания всех блоков не должны превышать указанных в ОСТ 5.9613-75: по полушироте для скул и скругленного ширстрека 2 мм, для бортов 5 мм, по высоте для верхней палубы у бортовых кромок 2 мм и для верхней палубы у ДП 3 мм. Для обеспечения сращивания корпуса в заданных теоретических размерах кромки монтажного стыка каждого блока должны иметь технологический припуск не менее 20 мм, удаляемый при подготовке кромок к стыкованию. Стягивающие, центрирующие и фиксирующие приспособления должны представлять собой комплекс тяговых средств и приспособлений, предназначенных для совмещения на плаву кромок и скрепления между собой стыкуемых блоков. Для стягивания блоков должны применяться лебедки, грузоподъёмностью (3…5) т, устанавливаемые на палубе, а также гидравлические домкраты-стяжки на (5…20) т или винтовые талрепы на (5…10) т. Для фиксации монтажных кромок с заданным монтажным зазором должны использоваться фиксирующие замки, располагаемые у кромок монтажного стыка в надводной части корпуса</w:t>
      </w:r>
      <w:r w:rsidRPr="00873CB0">
        <w:rPr>
          <w:rFonts w:ascii="Times New Roman" w:hAnsi="Times New Roman"/>
          <w:sz w:val="24"/>
          <w:szCs w:val="24"/>
        </w:rPr>
        <w:t xml:space="preserve"> [6]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040B15" w:rsidRDefault="00040B15" w:rsidP="00712922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:rsidR="00040B15" w:rsidRPr="00712922" w:rsidRDefault="00040B15" w:rsidP="00712922">
      <w:pPr>
        <w:pStyle w:val="a1"/>
        <w:spacing w:before="0" w:after="0"/>
        <w:rPr>
          <w:noProof/>
          <w:sz w:val="24"/>
          <w:szCs w:val="24"/>
        </w:rPr>
      </w:pPr>
    </w:p>
    <w:p w:rsidR="00040B15" w:rsidRPr="00712922" w:rsidRDefault="00040B15" w:rsidP="00712922">
      <w:pPr>
        <w:pStyle w:val="a1"/>
        <w:spacing w:before="0" w:after="0"/>
        <w:rPr>
          <w:b w:val="0"/>
          <w:sz w:val="24"/>
          <w:szCs w:val="24"/>
        </w:rPr>
      </w:pPr>
      <w:r w:rsidRPr="00712922">
        <w:rPr>
          <w:b w:val="0"/>
          <w:sz w:val="24"/>
          <w:szCs w:val="24"/>
        </w:rPr>
        <w:t>Список использованной литературы:</w:t>
      </w:r>
    </w:p>
    <w:p w:rsidR="00040B15" w:rsidRPr="00712922" w:rsidRDefault="00040B15" w:rsidP="00712922">
      <w:pPr>
        <w:pStyle w:val="L"/>
      </w:pPr>
    </w:p>
    <w:p w:rsidR="00040B15" w:rsidRPr="00712922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4" w:name="_Toc432965638"/>
      <w:r w:rsidRPr="00712922">
        <w:rPr>
          <w:rFonts w:ascii="Times New Roman" w:hAnsi="Times New Roman"/>
          <w:sz w:val="24"/>
          <w:szCs w:val="24"/>
        </w:rPr>
        <w:t>[</w:t>
      </w:r>
      <w:r w:rsidRPr="005146C2">
        <w:rPr>
          <w:rFonts w:ascii="Times New Roman" w:hAnsi="Times New Roman"/>
          <w:sz w:val="24"/>
          <w:szCs w:val="24"/>
        </w:rPr>
        <w:t>1</w:t>
      </w:r>
      <w:r w:rsidRPr="00712922">
        <w:rPr>
          <w:rFonts w:ascii="Times New Roman" w:hAnsi="Times New Roman"/>
          <w:sz w:val="24"/>
          <w:szCs w:val="24"/>
        </w:rPr>
        <w:t xml:space="preserve">] </w:t>
      </w:r>
      <w:r>
        <w:rPr>
          <w:rFonts w:ascii="Times New Roman" w:hAnsi="Times New Roman"/>
          <w:sz w:val="24"/>
          <w:szCs w:val="24"/>
        </w:rPr>
        <w:t>Мацкевич В.Д. Сборка и сварка корпусов судов / В.Д.Мацкевич. – Л: Судостроение, 1968 – 402 с.</w:t>
      </w:r>
    </w:p>
    <w:p w:rsidR="00040B15" w:rsidRPr="000878EE" w:rsidRDefault="00040B15" w:rsidP="005146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878EE">
        <w:rPr>
          <w:rFonts w:ascii="Times New Roman" w:hAnsi="Times New Roman"/>
          <w:sz w:val="24"/>
          <w:szCs w:val="24"/>
        </w:rPr>
        <w:t>[</w:t>
      </w:r>
      <w:r w:rsidRPr="005146C2">
        <w:rPr>
          <w:rFonts w:ascii="Times New Roman" w:hAnsi="Times New Roman"/>
          <w:sz w:val="24"/>
          <w:szCs w:val="24"/>
        </w:rPr>
        <w:t>2</w:t>
      </w:r>
      <w:r w:rsidRPr="000878EE">
        <w:rPr>
          <w:rFonts w:ascii="Times New Roman" w:hAnsi="Times New Roman"/>
          <w:sz w:val="24"/>
          <w:szCs w:val="24"/>
        </w:rPr>
        <w:t xml:space="preserve">] </w:t>
      </w:r>
      <w:r>
        <w:rPr>
          <w:rFonts w:ascii="Times New Roman" w:hAnsi="Times New Roman"/>
          <w:sz w:val="24"/>
          <w:szCs w:val="24"/>
        </w:rPr>
        <w:t xml:space="preserve">Е.Г.Бурмистров, Н.В.Огнев. Некоторые особенности технологии стыкования наплаву корабельных суперблоков </w:t>
      </w:r>
      <w:r w:rsidRPr="000878EE">
        <w:rPr>
          <w:rFonts w:ascii="Times New Roman" w:hAnsi="Times New Roman"/>
          <w:sz w:val="24"/>
          <w:szCs w:val="24"/>
        </w:rPr>
        <w:t xml:space="preserve">/ </w:t>
      </w:r>
      <w:r>
        <w:rPr>
          <w:rFonts w:ascii="Times New Roman" w:hAnsi="Times New Roman"/>
          <w:sz w:val="24"/>
          <w:szCs w:val="24"/>
        </w:rPr>
        <w:t>Е.Г.Бурмистров, Н.В.Огнев – ФБОУ ВПО «ВГАВТ», 2012</w:t>
      </w:r>
    </w:p>
    <w:p w:rsidR="00040B15" w:rsidRPr="00DC3669" w:rsidRDefault="00040B15" w:rsidP="005146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2922">
        <w:rPr>
          <w:rFonts w:ascii="Times New Roman" w:hAnsi="Times New Roman"/>
          <w:color w:val="000000"/>
          <w:sz w:val="24"/>
          <w:szCs w:val="24"/>
        </w:rPr>
        <w:t xml:space="preserve"> [3] </w:t>
      </w:r>
      <w:r>
        <w:rPr>
          <w:rFonts w:ascii="Times New Roman" w:hAnsi="Times New Roman"/>
          <w:color w:val="000000"/>
          <w:sz w:val="24"/>
          <w:szCs w:val="24"/>
        </w:rPr>
        <w:t>Адлерштейн Л.Ц. Механизация корпусных работ на стапеле / Л.Ц.Адлерштейн, А. Розинов, В.Ф.Соколов, М.Р.</w:t>
      </w:r>
      <w:r w:rsidRPr="00DC366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Шраерман – Л: Судостроение, 1973 – 312 с.</w:t>
      </w:r>
    </w:p>
    <w:p w:rsidR="00040B15" w:rsidRPr="00DC3669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2922">
        <w:rPr>
          <w:rFonts w:ascii="Times New Roman" w:hAnsi="Times New Roman"/>
          <w:sz w:val="24"/>
          <w:szCs w:val="24"/>
        </w:rPr>
        <w:t xml:space="preserve">[4] </w:t>
      </w:r>
      <w:r>
        <w:rPr>
          <w:rFonts w:ascii="Times New Roman" w:hAnsi="Times New Roman"/>
          <w:color w:val="000000"/>
          <w:sz w:val="24"/>
          <w:szCs w:val="24"/>
        </w:rPr>
        <w:t>Адлерштейн Л.Ц. Постройка корпусов судов на стапеле / Л.Ц.Адлерштейн, А. Розинов, В.Ф.Соколов, М.Р.</w:t>
      </w:r>
      <w:r w:rsidRPr="00DC366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Шраерман – Л: Судостроение, 1977 – 304 с.</w:t>
      </w:r>
    </w:p>
    <w:p w:rsidR="00040B15" w:rsidRPr="00712922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2922">
        <w:rPr>
          <w:rFonts w:ascii="Times New Roman" w:hAnsi="Times New Roman"/>
          <w:sz w:val="24"/>
          <w:szCs w:val="24"/>
        </w:rPr>
        <w:t xml:space="preserve">[5] </w:t>
      </w:r>
      <w:r>
        <w:rPr>
          <w:rFonts w:ascii="Times New Roman" w:hAnsi="Times New Roman"/>
          <w:sz w:val="24"/>
          <w:szCs w:val="24"/>
        </w:rPr>
        <w:t>Желтобрюх Н.Д. Механизация и автоматизация корпусного производства / Н.Д. Желтобрюх – Л: Судостроение, 1972 – 176 с.</w:t>
      </w:r>
    </w:p>
    <w:p w:rsidR="00040B15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2922">
        <w:rPr>
          <w:rFonts w:ascii="Times New Roman" w:hAnsi="Times New Roman"/>
          <w:sz w:val="24"/>
          <w:szCs w:val="24"/>
        </w:rPr>
        <w:t xml:space="preserve">[6] </w:t>
      </w:r>
      <w:r>
        <w:rPr>
          <w:rFonts w:ascii="Times New Roman" w:hAnsi="Times New Roman"/>
          <w:sz w:val="24"/>
          <w:szCs w:val="24"/>
        </w:rPr>
        <w:t xml:space="preserve">Технология судостроения: уч.для вузов / Александров В.Л., Арью А.Р., Ганов Э.В., Догадин А.В. </w:t>
      </w:r>
      <w:r w:rsidRPr="00DC3669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и др.</w:t>
      </w:r>
      <w:r w:rsidRPr="00DC3669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; под общ.ред. А.Д.Гармашева. – СПб: Профессия, 203. – 342 с.</w:t>
      </w:r>
    </w:p>
    <w:p w:rsidR="00040B15" w:rsidRPr="000878EE" w:rsidRDefault="00040B15" w:rsidP="00712922">
      <w:pPr>
        <w:pStyle w:val="ZagolAngl"/>
        <w:spacing w:before="0" w:after="0"/>
        <w:ind w:firstLine="709"/>
        <w:rPr>
          <w:b w:val="0"/>
          <w:szCs w:val="24"/>
          <w:lang w:val="ru-RU"/>
        </w:rPr>
      </w:pPr>
    </w:p>
    <w:p w:rsidR="00040B15" w:rsidRPr="000878EE" w:rsidRDefault="00040B15" w:rsidP="00712922">
      <w:pPr>
        <w:pStyle w:val="Author"/>
        <w:spacing w:after="0"/>
        <w:ind w:firstLine="709"/>
        <w:rPr>
          <w:b w:val="0"/>
          <w:bCs w:val="0"/>
          <w:i w:val="0"/>
          <w:iCs w:val="0"/>
          <w:sz w:val="24"/>
          <w:szCs w:val="24"/>
          <w:lang w:val="en-US"/>
        </w:rPr>
      </w:pPr>
      <w:bookmarkStart w:id="5" w:name="_Toc432965639"/>
      <w:bookmarkEnd w:id="4"/>
      <w:r w:rsidRPr="00DC3669">
        <w:rPr>
          <w:b w:val="0"/>
          <w:bCs w:val="0"/>
          <w:i w:val="0"/>
          <w:iCs w:val="0"/>
          <w:sz w:val="24"/>
          <w:szCs w:val="24"/>
          <w:lang w:val="en-US"/>
        </w:rPr>
        <w:t>Development of methods for splicing Ship SUPER BLOCKS afloat</w:t>
      </w:r>
    </w:p>
    <w:p w:rsidR="00040B15" w:rsidRPr="00712922" w:rsidRDefault="00040B15" w:rsidP="00712922">
      <w:pPr>
        <w:pStyle w:val="Author"/>
        <w:spacing w:after="0"/>
        <w:ind w:firstLine="709"/>
        <w:rPr>
          <w:b w:val="0"/>
          <w:i w:val="0"/>
          <w:sz w:val="24"/>
          <w:szCs w:val="24"/>
          <w:lang w:val="en-US"/>
        </w:rPr>
      </w:pPr>
      <w:r w:rsidRPr="00712922">
        <w:rPr>
          <w:b w:val="0"/>
          <w:i w:val="0"/>
          <w:sz w:val="24"/>
          <w:szCs w:val="24"/>
          <w:lang w:val="en-US"/>
        </w:rPr>
        <w:t xml:space="preserve">D.V. Ryzhov, E.G. </w:t>
      </w:r>
      <w:bookmarkEnd w:id="5"/>
      <w:r w:rsidRPr="00712922">
        <w:rPr>
          <w:b w:val="0"/>
          <w:i w:val="0"/>
          <w:sz w:val="24"/>
          <w:szCs w:val="24"/>
          <w:lang w:val="en-US"/>
        </w:rPr>
        <w:t>Burmistrov</w:t>
      </w:r>
    </w:p>
    <w:p w:rsidR="00040B15" w:rsidRPr="00712922" w:rsidRDefault="00040B15" w:rsidP="00712922">
      <w:pPr>
        <w:pStyle w:val="a3"/>
        <w:ind w:left="0" w:right="0" w:firstLine="709"/>
        <w:rPr>
          <w:i w:val="0"/>
          <w:sz w:val="24"/>
          <w:szCs w:val="24"/>
          <w:lang w:val="en-US"/>
        </w:rPr>
      </w:pPr>
    </w:p>
    <w:p w:rsidR="00040B15" w:rsidRPr="007C09D1" w:rsidRDefault="00040B15" w:rsidP="00712922">
      <w:pPr>
        <w:pStyle w:val="a3"/>
        <w:ind w:left="0" w:right="0"/>
        <w:rPr>
          <w:i w:val="0"/>
          <w:sz w:val="24"/>
          <w:szCs w:val="24"/>
          <w:lang w:val="en-US"/>
        </w:rPr>
      </w:pPr>
      <w:r w:rsidRPr="00712922">
        <w:rPr>
          <w:i w:val="0"/>
          <w:sz w:val="24"/>
          <w:szCs w:val="24"/>
          <w:lang w:val="en-US"/>
        </w:rPr>
        <w:t>Keywords: superblocks, format</w:t>
      </w:r>
      <w:r>
        <w:rPr>
          <w:i w:val="0"/>
          <w:sz w:val="24"/>
          <w:szCs w:val="24"/>
          <w:lang w:val="en-US"/>
        </w:rPr>
        <w:t>ion of the hull afloat, methods</w:t>
      </w:r>
    </w:p>
    <w:p w:rsidR="00040B15" w:rsidRPr="007C09D1" w:rsidRDefault="00040B15" w:rsidP="00712922">
      <w:pPr>
        <w:pStyle w:val="a3"/>
        <w:ind w:left="0" w:right="0"/>
        <w:rPr>
          <w:i w:val="0"/>
          <w:sz w:val="24"/>
          <w:szCs w:val="24"/>
          <w:lang w:val="en-US"/>
        </w:rPr>
      </w:pPr>
    </w:p>
    <w:p w:rsidR="00040B15" w:rsidRPr="000878EE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7C09D1">
        <w:rPr>
          <w:rFonts w:ascii="Times New Roman" w:hAnsi="Times New Roman"/>
          <w:sz w:val="24"/>
          <w:szCs w:val="24"/>
          <w:lang w:val="en-US" w:eastAsia="en-US"/>
        </w:rPr>
        <w:t>Features of docking of large blocks of hulls of vessels after separate launching into water are considered. A new method of docking the superblocks afloat is being developed.</w:t>
      </w:r>
    </w:p>
    <w:p w:rsidR="00040B15" w:rsidRPr="000878EE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40B15" w:rsidRPr="001524D2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12922">
        <w:rPr>
          <w:rFonts w:ascii="Times New Roman" w:hAnsi="Times New Roman"/>
          <w:sz w:val="24"/>
          <w:szCs w:val="24"/>
        </w:rPr>
        <w:t>Рыжов Дмитрий Викторович, +7 (910</w:t>
      </w:r>
      <w:r>
        <w:rPr>
          <w:rFonts w:ascii="Times New Roman" w:hAnsi="Times New Roman"/>
          <w:sz w:val="24"/>
          <w:szCs w:val="24"/>
        </w:rPr>
        <w:t xml:space="preserve">) 897-38-71, </w:t>
      </w:r>
      <w:r>
        <w:rPr>
          <w:rFonts w:ascii="Times New Roman" w:hAnsi="Times New Roman"/>
          <w:sz w:val="24"/>
          <w:szCs w:val="24"/>
          <w:lang w:val="en-US"/>
        </w:rPr>
        <w:t>demin</w:t>
      </w:r>
      <w:r w:rsidRPr="001524D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recno</w:t>
      </w:r>
      <w:r w:rsidRPr="001524D2"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1524D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>
        <w:rPr>
          <w:rFonts w:ascii="Times New Roman" w:hAnsi="Times New Roman"/>
          <w:sz w:val="24"/>
          <w:szCs w:val="24"/>
        </w:rPr>
        <w:t>.</w:t>
      </w:r>
    </w:p>
    <w:p w:rsidR="00040B15" w:rsidRPr="00712922" w:rsidRDefault="00040B15" w:rsidP="0071292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40B15" w:rsidRPr="00712922" w:rsidRDefault="00040B15" w:rsidP="00712922">
      <w:pPr>
        <w:spacing w:after="0" w:line="240" w:lineRule="auto"/>
        <w:ind w:left="708" w:firstLine="708"/>
        <w:rPr>
          <w:rFonts w:ascii="Times New Roman" w:hAnsi="Times New Roman"/>
          <w:sz w:val="24"/>
          <w:szCs w:val="24"/>
        </w:rPr>
      </w:pPr>
    </w:p>
    <w:sectPr w:rsidR="00040B15" w:rsidRPr="00712922" w:rsidSect="009034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71DE9"/>
    <w:multiLevelType w:val="hybridMultilevel"/>
    <w:tmpl w:val="6C52ECC8"/>
    <w:lvl w:ilvl="0" w:tplc="797059C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3809681A"/>
    <w:multiLevelType w:val="hybridMultilevel"/>
    <w:tmpl w:val="FCC261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84A0D7F"/>
    <w:multiLevelType w:val="hybridMultilevel"/>
    <w:tmpl w:val="81ECD2F0"/>
    <w:lvl w:ilvl="0" w:tplc="FE1AEB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34CC"/>
    <w:rsid w:val="00040B15"/>
    <w:rsid w:val="000878EE"/>
    <w:rsid w:val="000E7A76"/>
    <w:rsid w:val="00105B9A"/>
    <w:rsid w:val="00112051"/>
    <w:rsid w:val="001524D2"/>
    <w:rsid w:val="001F4EA8"/>
    <w:rsid w:val="0035391A"/>
    <w:rsid w:val="0036063B"/>
    <w:rsid w:val="00414CE0"/>
    <w:rsid w:val="004A2CA4"/>
    <w:rsid w:val="004E73EF"/>
    <w:rsid w:val="00505BD3"/>
    <w:rsid w:val="005146C2"/>
    <w:rsid w:val="00566285"/>
    <w:rsid w:val="005A7912"/>
    <w:rsid w:val="006349BA"/>
    <w:rsid w:val="00637F91"/>
    <w:rsid w:val="006A25E1"/>
    <w:rsid w:val="00712922"/>
    <w:rsid w:val="007C09D1"/>
    <w:rsid w:val="00873CB0"/>
    <w:rsid w:val="009034CC"/>
    <w:rsid w:val="0093368F"/>
    <w:rsid w:val="00CF1341"/>
    <w:rsid w:val="00CF3E6C"/>
    <w:rsid w:val="00D02EA1"/>
    <w:rsid w:val="00DC3669"/>
    <w:rsid w:val="00E86B28"/>
    <w:rsid w:val="00F21013"/>
    <w:rsid w:val="00F31383"/>
    <w:rsid w:val="00FD07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91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DK">
    <w:name w:val="UDK"/>
    <w:basedOn w:val="Normal"/>
    <w:uiPriority w:val="99"/>
    <w:rsid w:val="009034CC"/>
    <w:pPr>
      <w:widowControl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">
    <w:name w:val="Aдрес"/>
    <w:basedOn w:val="Normal"/>
    <w:link w:val="A0"/>
    <w:uiPriority w:val="99"/>
    <w:rsid w:val="009034CC"/>
    <w:pPr>
      <w:spacing w:after="0" w:line="240" w:lineRule="auto"/>
    </w:pPr>
    <w:rPr>
      <w:rFonts w:ascii="Times New Roman" w:hAnsi="Times New Roman"/>
      <w:i/>
      <w:sz w:val="20"/>
      <w:szCs w:val="20"/>
    </w:rPr>
  </w:style>
  <w:style w:type="character" w:customStyle="1" w:styleId="A0">
    <w:name w:val="Aдрес Знак"/>
    <w:basedOn w:val="DefaultParagraphFont"/>
    <w:link w:val="A"/>
    <w:uiPriority w:val="99"/>
    <w:locked/>
    <w:rsid w:val="009034CC"/>
    <w:rPr>
      <w:rFonts w:ascii="Times New Roman" w:hAnsi="Times New Roman" w:cs="Times New Roman"/>
      <w:i/>
      <w:sz w:val="20"/>
      <w:szCs w:val="20"/>
    </w:rPr>
  </w:style>
  <w:style w:type="paragraph" w:customStyle="1" w:styleId="Zag">
    <w:name w:val="ZagТаблицы"/>
    <w:basedOn w:val="T"/>
    <w:uiPriority w:val="99"/>
    <w:rsid w:val="009034CC"/>
    <w:pPr>
      <w:spacing w:before="80" w:after="120"/>
    </w:pPr>
    <w:rPr>
      <w:b/>
      <w:szCs w:val="20"/>
    </w:rPr>
  </w:style>
  <w:style w:type="paragraph" w:customStyle="1" w:styleId="T">
    <w:name w:val="Tаблица"/>
    <w:basedOn w:val="Normal"/>
    <w:link w:val="T0"/>
    <w:uiPriority w:val="99"/>
    <w:rsid w:val="009034CC"/>
    <w:pPr>
      <w:spacing w:after="0" w:line="240" w:lineRule="auto"/>
      <w:jc w:val="center"/>
    </w:pPr>
    <w:rPr>
      <w:rFonts w:ascii="Times New Roman" w:hAnsi="Times New Roman"/>
      <w:sz w:val="18"/>
      <w:szCs w:val="18"/>
    </w:rPr>
  </w:style>
  <w:style w:type="character" w:customStyle="1" w:styleId="T0">
    <w:name w:val="Tаблица Знак"/>
    <w:basedOn w:val="DefaultParagraphFont"/>
    <w:link w:val="T"/>
    <w:uiPriority w:val="99"/>
    <w:locked/>
    <w:rsid w:val="009034CC"/>
    <w:rPr>
      <w:rFonts w:ascii="Times New Roman" w:hAnsi="Times New Roman" w:cs="Times New Roman"/>
      <w:sz w:val="18"/>
      <w:szCs w:val="18"/>
    </w:rPr>
  </w:style>
  <w:style w:type="paragraph" w:customStyle="1" w:styleId="N">
    <w:name w:val="NТабл№"/>
    <w:basedOn w:val="Normal"/>
    <w:link w:val="N0"/>
    <w:uiPriority w:val="99"/>
    <w:rsid w:val="009034CC"/>
    <w:pPr>
      <w:spacing w:before="240" w:after="0" w:line="240" w:lineRule="auto"/>
      <w:jc w:val="right"/>
    </w:pPr>
    <w:rPr>
      <w:rFonts w:ascii="Times New Roman" w:hAnsi="Times New Roman"/>
      <w:i/>
      <w:sz w:val="18"/>
      <w:szCs w:val="20"/>
    </w:rPr>
  </w:style>
  <w:style w:type="character" w:customStyle="1" w:styleId="N0">
    <w:name w:val="NТабл№ Знак"/>
    <w:basedOn w:val="DefaultParagraphFont"/>
    <w:link w:val="N"/>
    <w:uiPriority w:val="99"/>
    <w:locked/>
    <w:rsid w:val="009034CC"/>
    <w:rPr>
      <w:rFonts w:ascii="Times New Roman" w:hAnsi="Times New Roman" w:cs="Times New Roman"/>
      <w:i/>
      <w:sz w:val="20"/>
      <w:szCs w:val="20"/>
    </w:rPr>
  </w:style>
  <w:style w:type="paragraph" w:customStyle="1" w:styleId="a1">
    <w:name w:val="ЗагЛитературы"/>
    <w:basedOn w:val="Normal"/>
    <w:next w:val="L"/>
    <w:uiPriority w:val="99"/>
    <w:rsid w:val="009034CC"/>
    <w:pPr>
      <w:spacing w:before="40" w:after="120" w:line="240" w:lineRule="auto"/>
      <w:jc w:val="both"/>
    </w:pPr>
    <w:rPr>
      <w:rFonts w:ascii="Times New Roman" w:hAnsi="Times New Roman"/>
      <w:b/>
      <w:bCs/>
      <w:sz w:val="18"/>
      <w:szCs w:val="20"/>
    </w:rPr>
  </w:style>
  <w:style w:type="paragraph" w:customStyle="1" w:styleId="L">
    <w:name w:val="Lитература"/>
    <w:basedOn w:val="Normal"/>
    <w:link w:val="L0"/>
    <w:uiPriority w:val="99"/>
    <w:rsid w:val="009034CC"/>
    <w:pPr>
      <w:spacing w:after="0" w:line="240" w:lineRule="auto"/>
      <w:jc w:val="both"/>
    </w:pPr>
    <w:rPr>
      <w:rFonts w:ascii="Times New Roman" w:hAnsi="Times New Roman"/>
      <w:sz w:val="18"/>
      <w:szCs w:val="20"/>
    </w:rPr>
  </w:style>
  <w:style w:type="character" w:customStyle="1" w:styleId="L0">
    <w:name w:val="Lитература Знак"/>
    <w:basedOn w:val="DefaultParagraphFont"/>
    <w:link w:val="L"/>
    <w:uiPriority w:val="99"/>
    <w:locked/>
    <w:rsid w:val="009034CC"/>
    <w:rPr>
      <w:rFonts w:ascii="Times New Roman" w:hAnsi="Times New Roman" w:cs="Times New Roman"/>
      <w:sz w:val="20"/>
      <w:szCs w:val="20"/>
    </w:rPr>
  </w:style>
  <w:style w:type="paragraph" w:customStyle="1" w:styleId="a2">
    <w:name w:val="Заголовок"/>
    <w:basedOn w:val="Normal"/>
    <w:uiPriority w:val="99"/>
    <w:rsid w:val="009034CC"/>
    <w:pPr>
      <w:spacing w:before="360" w:line="240" w:lineRule="auto"/>
      <w:jc w:val="center"/>
    </w:pPr>
    <w:rPr>
      <w:rFonts w:ascii="Times New Roman" w:hAnsi="Times New Roman"/>
      <w:b/>
      <w:bCs/>
      <w:caps/>
      <w:sz w:val="24"/>
      <w:szCs w:val="20"/>
    </w:rPr>
  </w:style>
  <w:style w:type="paragraph" w:customStyle="1" w:styleId="a3">
    <w:name w:val="Аннотация"/>
    <w:basedOn w:val="Normal"/>
    <w:link w:val="a4"/>
    <w:uiPriority w:val="99"/>
    <w:rsid w:val="009034CC"/>
    <w:pPr>
      <w:spacing w:after="0" w:line="240" w:lineRule="auto"/>
      <w:ind w:left="340" w:right="340"/>
      <w:jc w:val="both"/>
    </w:pPr>
    <w:rPr>
      <w:rFonts w:ascii="Times New Roman" w:hAnsi="Times New Roman"/>
      <w:i/>
      <w:sz w:val="18"/>
      <w:lang w:eastAsia="en-US"/>
    </w:rPr>
  </w:style>
  <w:style w:type="character" w:customStyle="1" w:styleId="a4">
    <w:name w:val="Аннотация Знак"/>
    <w:basedOn w:val="DefaultParagraphFont"/>
    <w:link w:val="a3"/>
    <w:uiPriority w:val="99"/>
    <w:locked/>
    <w:rsid w:val="009034CC"/>
    <w:rPr>
      <w:rFonts w:ascii="Times New Roman" w:eastAsia="Times New Roman" w:hAnsi="Times New Roman" w:cs="Times New Roman"/>
      <w:i/>
      <w:sz w:val="18"/>
      <w:lang w:eastAsia="en-US"/>
    </w:rPr>
  </w:style>
  <w:style w:type="paragraph" w:customStyle="1" w:styleId="P">
    <w:name w:val="Pисунок"/>
    <w:basedOn w:val="Normal"/>
    <w:link w:val="P0"/>
    <w:uiPriority w:val="99"/>
    <w:rsid w:val="009034CC"/>
    <w:pPr>
      <w:tabs>
        <w:tab w:val="left" w:pos="6120"/>
      </w:tabs>
      <w:spacing w:before="120" w:line="240" w:lineRule="auto"/>
      <w:jc w:val="center"/>
    </w:pPr>
    <w:rPr>
      <w:rFonts w:ascii="Times New Roman" w:hAnsi="Times New Roman"/>
      <w:sz w:val="18"/>
      <w:szCs w:val="16"/>
    </w:rPr>
  </w:style>
  <w:style w:type="character" w:customStyle="1" w:styleId="P0">
    <w:name w:val="Pисунок Знак"/>
    <w:basedOn w:val="DefaultParagraphFont"/>
    <w:link w:val="P"/>
    <w:uiPriority w:val="99"/>
    <w:locked/>
    <w:rsid w:val="009034CC"/>
    <w:rPr>
      <w:rFonts w:ascii="Times New Roman" w:hAnsi="Times New Roman" w:cs="Times New Roman"/>
      <w:sz w:val="16"/>
      <w:szCs w:val="16"/>
    </w:rPr>
  </w:style>
  <w:style w:type="paragraph" w:customStyle="1" w:styleId="Author">
    <w:name w:val="Author"/>
    <w:basedOn w:val="Normal"/>
    <w:next w:val="Normal"/>
    <w:uiPriority w:val="99"/>
    <w:rsid w:val="009034CC"/>
    <w:pPr>
      <w:spacing w:after="120" w:line="240" w:lineRule="auto"/>
      <w:jc w:val="center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ZagolAngl">
    <w:name w:val="ZagolAngl"/>
    <w:basedOn w:val="a2"/>
    <w:uiPriority w:val="99"/>
    <w:rsid w:val="009034CC"/>
    <w:pPr>
      <w:spacing w:after="120"/>
    </w:pPr>
    <w:rPr>
      <w:lang w:val="en-US"/>
    </w:rPr>
  </w:style>
  <w:style w:type="paragraph" w:customStyle="1" w:styleId="a5">
    <w:name w:val="Автор"/>
    <w:basedOn w:val="Normal"/>
    <w:uiPriority w:val="99"/>
    <w:rsid w:val="009034CC"/>
    <w:pPr>
      <w:spacing w:after="0" w:line="240" w:lineRule="auto"/>
    </w:pPr>
    <w:rPr>
      <w:rFonts w:ascii="Times New Roman" w:hAnsi="Times New Roman"/>
      <w:i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903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034CC"/>
    <w:rPr>
      <w:rFonts w:ascii="Tahoma" w:hAnsi="Tahoma" w:cs="Tahoma"/>
      <w:sz w:val="16"/>
      <w:szCs w:val="16"/>
    </w:rPr>
  </w:style>
  <w:style w:type="paragraph" w:customStyle="1" w:styleId="Formula">
    <w:name w:val="Formula"/>
    <w:basedOn w:val="Normal"/>
    <w:link w:val="Formula0"/>
    <w:uiPriority w:val="99"/>
    <w:rsid w:val="00D02EA1"/>
    <w:pPr>
      <w:tabs>
        <w:tab w:val="center" w:pos="4536"/>
      </w:tabs>
      <w:spacing w:before="120" w:after="120" w:line="240" w:lineRule="auto"/>
      <w:jc w:val="right"/>
    </w:pPr>
    <w:rPr>
      <w:rFonts w:ascii="Times New Roman" w:hAnsi="Times New Roman"/>
      <w:sz w:val="20"/>
      <w:szCs w:val="20"/>
    </w:rPr>
  </w:style>
  <w:style w:type="character" w:customStyle="1" w:styleId="Formula0">
    <w:name w:val="Formula Знак"/>
    <w:basedOn w:val="DefaultParagraphFont"/>
    <w:link w:val="Formula"/>
    <w:uiPriority w:val="99"/>
    <w:locked/>
    <w:rsid w:val="00D02EA1"/>
    <w:rPr>
      <w:rFonts w:ascii="Times New Roman" w:hAnsi="Times New Roman" w:cs="Times New Roman"/>
      <w:sz w:val="20"/>
      <w:szCs w:val="20"/>
    </w:rPr>
  </w:style>
  <w:style w:type="paragraph" w:customStyle="1" w:styleId="F">
    <w:name w:val="Fормулапод"/>
    <w:basedOn w:val="Normal"/>
    <w:link w:val="F0"/>
    <w:uiPriority w:val="99"/>
    <w:rsid w:val="00D02EA1"/>
    <w:pPr>
      <w:widowControl w:val="0"/>
      <w:tabs>
        <w:tab w:val="center" w:pos="4536"/>
      </w:tabs>
      <w:autoSpaceDE w:val="0"/>
      <w:autoSpaceDN w:val="0"/>
      <w:adjustRightInd w:val="0"/>
      <w:spacing w:after="0" w:line="240" w:lineRule="auto"/>
      <w:ind w:left="340" w:hanging="340"/>
      <w:jc w:val="both"/>
    </w:pPr>
    <w:rPr>
      <w:rFonts w:ascii="Times New Roman" w:hAnsi="Times New Roman"/>
      <w:iCs/>
      <w:sz w:val="20"/>
      <w:szCs w:val="16"/>
    </w:rPr>
  </w:style>
  <w:style w:type="character" w:customStyle="1" w:styleId="F0">
    <w:name w:val="Fормулапод Знак"/>
    <w:basedOn w:val="DefaultParagraphFont"/>
    <w:link w:val="F"/>
    <w:uiPriority w:val="99"/>
    <w:locked/>
    <w:rsid w:val="00D02EA1"/>
    <w:rPr>
      <w:rFonts w:ascii="Times New Roman" w:hAnsi="Times New Roman" w:cs="Times New Roman"/>
      <w:iCs/>
      <w:sz w:val="16"/>
      <w:szCs w:val="16"/>
    </w:rPr>
  </w:style>
  <w:style w:type="paragraph" w:styleId="ListParagraph">
    <w:name w:val="List Paragraph"/>
    <w:basedOn w:val="Normal"/>
    <w:uiPriority w:val="99"/>
    <w:qFormat/>
    <w:rsid w:val="001F4EA8"/>
    <w:pPr>
      <w:ind w:left="720"/>
      <w:contextualSpacing/>
    </w:pPr>
    <w:rPr>
      <w:lang w:eastAsia="en-US"/>
    </w:rPr>
  </w:style>
  <w:style w:type="character" w:customStyle="1" w:styleId="apple-converted-space">
    <w:name w:val="apple-converted-space"/>
    <w:basedOn w:val="DefaultParagraphFont"/>
    <w:uiPriority w:val="99"/>
    <w:rsid w:val="001F4E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84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41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41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41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1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1841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1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1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41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1645</Words>
  <Characters>9378</Characters>
  <Application>Microsoft Office Outlook</Application>
  <DocSecurity>0</DocSecurity>
  <Lines>0</Lines>
  <Paragraphs>0</Paragraphs>
  <ScaleCrop>false</ScaleCrop>
  <Company>VGUVT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УДК </dc:title>
  <dc:subject/>
  <dc:creator>raeva</dc:creator>
  <cp:keywords/>
  <dc:description/>
  <cp:lastModifiedBy>Рыжов ВА</cp:lastModifiedBy>
  <cp:revision>2</cp:revision>
  <dcterms:created xsi:type="dcterms:W3CDTF">2017-11-07T10:36:00Z</dcterms:created>
  <dcterms:modified xsi:type="dcterms:W3CDTF">2017-11-07T10:36:00Z</dcterms:modified>
</cp:coreProperties>
</file>